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F30" w:rsidRDefault="00713F30" w:rsidP="00E9337D">
      <w:pPr>
        <w:spacing w:line="360" w:lineRule="auto"/>
        <w:jc w:val="center"/>
        <w:rPr>
          <w:b/>
          <w:bCs/>
          <w:sz w:val="28"/>
          <w:szCs w:val="28"/>
        </w:rPr>
      </w:pPr>
      <w:proofErr w:type="spellStart"/>
      <w:r>
        <w:rPr>
          <w:b/>
          <w:bCs/>
          <w:sz w:val="28"/>
          <w:szCs w:val="28"/>
        </w:rPr>
        <w:t>Обгрунтування</w:t>
      </w:r>
      <w:proofErr w:type="spellEnd"/>
      <w:r>
        <w:rPr>
          <w:b/>
          <w:bCs/>
          <w:sz w:val="28"/>
          <w:szCs w:val="28"/>
          <w:lang w:val="uk-UA"/>
        </w:rPr>
        <w:t xml:space="preserve"> </w:t>
      </w:r>
      <w:proofErr w:type="spellStart"/>
      <w:r>
        <w:rPr>
          <w:b/>
          <w:bCs/>
          <w:sz w:val="28"/>
          <w:szCs w:val="28"/>
        </w:rPr>
        <w:t>технічних</w:t>
      </w:r>
      <w:proofErr w:type="spellEnd"/>
      <w:r>
        <w:rPr>
          <w:b/>
          <w:bCs/>
          <w:sz w:val="28"/>
          <w:szCs w:val="28"/>
        </w:rPr>
        <w:t xml:space="preserve"> та </w:t>
      </w:r>
      <w:proofErr w:type="spellStart"/>
      <w:r>
        <w:rPr>
          <w:b/>
          <w:bCs/>
          <w:sz w:val="28"/>
          <w:szCs w:val="28"/>
        </w:rPr>
        <w:t>якісних</w:t>
      </w:r>
      <w:proofErr w:type="spellEnd"/>
      <w:r>
        <w:rPr>
          <w:b/>
          <w:bCs/>
          <w:sz w:val="28"/>
          <w:szCs w:val="28"/>
        </w:rPr>
        <w:t xml:space="preserve"> характеристик предмета </w:t>
      </w:r>
      <w:proofErr w:type="spellStart"/>
      <w:r>
        <w:rPr>
          <w:b/>
          <w:bCs/>
          <w:sz w:val="28"/>
          <w:szCs w:val="28"/>
        </w:rPr>
        <w:t>закупівлі</w:t>
      </w:r>
      <w:proofErr w:type="spellEnd"/>
      <w:r>
        <w:rPr>
          <w:b/>
          <w:bCs/>
          <w:sz w:val="28"/>
          <w:szCs w:val="28"/>
        </w:rPr>
        <w:t xml:space="preserve">, </w:t>
      </w:r>
      <w:proofErr w:type="spellStart"/>
      <w:r>
        <w:rPr>
          <w:b/>
          <w:bCs/>
          <w:sz w:val="28"/>
          <w:szCs w:val="28"/>
        </w:rPr>
        <w:t>розміру</w:t>
      </w:r>
      <w:proofErr w:type="spellEnd"/>
      <w:r>
        <w:rPr>
          <w:b/>
          <w:bCs/>
          <w:sz w:val="28"/>
          <w:szCs w:val="28"/>
        </w:rPr>
        <w:t xml:space="preserve"> бюджетного </w:t>
      </w:r>
      <w:proofErr w:type="spellStart"/>
      <w:r>
        <w:rPr>
          <w:b/>
          <w:bCs/>
          <w:sz w:val="28"/>
          <w:szCs w:val="28"/>
        </w:rPr>
        <w:t>призначення</w:t>
      </w:r>
      <w:proofErr w:type="spellEnd"/>
      <w:r>
        <w:rPr>
          <w:b/>
          <w:bCs/>
          <w:sz w:val="28"/>
          <w:szCs w:val="28"/>
        </w:rPr>
        <w:t xml:space="preserve">, </w:t>
      </w:r>
      <w:proofErr w:type="spellStart"/>
      <w:r>
        <w:rPr>
          <w:b/>
          <w:bCs/>
          <w:sz w:val="28"/>
          <w:szCs w:val="28"/>
        </w:rPr>
        <w:t>очікуваної</w:t>
      </w:r>
      <w:proofErr w:type="spellEnd"/>
      <w:r>
        <w:rPr>
          <w:b/>
          <w:bCs/>
          <w:sz w:val="28"/>
          <w:szCs w:val="28"/>
          <w:lang w:val="uk-UA"/>
        </w:rPr>
        <w:t xml:space="preserve"> </w:t>
      </w:r>
      <w:proofErr w:type="spellStart"/>
      <w:r>
        <w:rPr>
          <w:b/>
          <w:bCs/>
          <w:sz w:val="28"/>
          <w:szCs w:val="28"/>
        </w:rPr>
        <w:t>вартості</w:t>
      </w:r>
      <w:proofErr w:type="spellEnd"/>
      <w:r>
        <w:rPr>
          <w:b/>
          <w:bCs/>
          <w:sz w:val="28"/>
          <w:szCs w:val="28"/>
        </w:rPr>
        <w:t xml:space="preserve"> предмета </w:t>
      </w:r>
      <w:proofErr w:type="spellStart"/>
      <w:r>
        <w:rPr>
          <w:b/>
          <w:bCs/>
          <w:sz w:val="28"/>
          <w:szCs w:val="28"/>
        </w:rPr>
        <w:t>закупівлі</w:t>
      </w:r>
      <w:proofErr w:type="spellEnd"/>
    </w:p>
    <w:p w:rsidR="00713F30" w:rsidRPr="007263FC" w:rsidRDefault="007263FC" w:rsidP="00E9337D">
      <w:pPr>
        <w:spacing w:line="360" w:lineRule="auto"/>
        <w:jc w:val="center"/>
        <w:rPr>
          <w:b/>
          <w:bCs/>
          <w:sz w:val="28"/>
          <w:szCs w:val="28"/>
        </w:rPr>
      </w:pPr>
      <w:bookmarkStart w:id="0" w:name="_GoBack"/>
      <w:r w:rsidRPr="007263FC">
        <w:rPr>
          <w:b/>
          <w:color w:val="333333"/>
          <w:sz w:val="28"/>
          <w:szCs w:val="28"/>
          <w:shd w:val="clear" w:color="auto" w:fill="FFFFFF"/>
        </w:rPr>
        <w:t>UA-2024-12-06-017844-a</w:t>
      </w:r>
    </w:p>
    <w:bookmarkEnd w:id="0"/>
    <w:p w:rsidR="00713F30" w:rsidRDefault="00713F30" w:rsidP="00E9337D">
      <w:pPr>
        <w:spacing w:line="360" w:lineRule="auto"/>
        <w:jc w:val="center"/>
        <w:rPr>
          <w:lang w:val="uk-UA"/>
        </w:rPr>
      </w:pPr>
      <w:r>
        <w:rPr>
          <w:lang w:val="uk-UA"/>
        </w:rPr>
        <w:t>Відповідно до Постанови Кабінету Міністрів України « Про ефективне використання державних коштів» №710 від 11 жовтня 2016 року зі змінами</w:t>
      </w:r>
    </w:p>
    <w:p w:rsidR="00713F30" w:rsidRDefault="00713F30" w:rsidP="00E9337D">
      <w:pPr>
        <w:spacing w:line="360" w:lineRule="auto"/>
        <w:jc w:val="both"/>
        <w:rPr>
          <w:b/>
          <w:bCs/>
          <w:lang w:val="uk-UA"/>
        </w:rPr>
      </w:pPr>
    </w:p>
    <w:p w:rsidR="00713F30" w:rsidRDefault="00713F30" w:rsidP="002642B5">
      <w:pPr>
        <w:jc w:val="both"/>
        <w:rPr>
          <w:lang w:val="uk-UA"/>
        </w:rPr>
      </w:pPr>
      <w:r w:rsidRPr="00E9337D">
        <w:rPr>
          <w:b/>
          <w:bCs/>
          <w:lang w:val="uk-UA"/>
        </w:rPr>
        <w:t xml:space="preserve">Предмет закупівлі </w:t>
      </w:r>
      <w:r w:rsidRPr="002642B5">
        <w:rPr>
          <w:b/>
          <w:bCs/>
          <w:spacing w:val="-3"/>
          <w:lang w:val="uk-UA" w:eastAsia="ar-SA"/>
        </w:rPr>
        <w:t xml:space="preserve">Код ДК 021:2015 </w:t>
      </w:r>
      <w:r w:rsidRPr="002642B5">
        <w:rPr>
          <w:b/>
          <w:bCs/>
          <w:lang w:val="uk-UA"/>
        </w:rPr>
        <w:t>«</w:t>
      </w:r>
      <w:r w:rsidRPr="00234613">
        <w:rPr>
          <w:b/>
          <w:bCs/>
          <w:lang w:val="uk-UA"/>
        </w:rPr>
        <w:t>33120000-7 -</w:t>
      </w:r>
      <w:r w:rsidRPr="00234613">
        <w:rPr>
          <w:b/>
          <w:bCs/>
          <w:color w:val="FF0000"/>
          <w:lang w:val="uk-UA"/>
        </w:rPr>
        <w:t xml:space="preserve"> </w:t>
      </w:r>
      <w:r w:rsidRPr="00234613">
        <w:rPr>
          <w:b/>
          <w:bCs/>
          <w:lang w:val="uk-UA"/>
        </w:rPr>
        <w:t>Системи реєстрації медичної інформації та дослідне обладнання</w:t>
      </w:r>
      <w:r w:rsidRPr="00234613">
        <w:rPr>
          <w:b/>
          <w:bCs/>
          <w:color w:val="000000"/>
          <w:lang w:val="uk-UA"/>
        </w:rPr>
        <w:t>»</w:t>
      </w:r>
      <w:r w:rsidRPr="009B2C83">
        <w:rPr>
          <w:b/>
          <w:bCs/>
          <w:color w:val="000000"/>
          <w:lang w:val="uk-UA"/>
        </w:rPr>
        <w:t xml:space="preserve"> </w:t>
      </w:r>
      <w:r w:rsidRPr="002642B5">
        <w:rPr>
          <w:color w:val="000000"/>
          <w:lang w:val="uk-UA"/>
        </w:rPr>
        <w:t>(</w:t>
      </w:r>
      <w:proofErr w:type="spellStart"/>
      <w:r w:rsidRPr="002642B5">
        <w:rPr>
          <w:lang w:val="uk-UA"/>
        </w:rPr>
        <w:t>Холтерівська</w:t>
      </w:r>
      <w:proofErr w:type="spellEnd"/>
      <w:r w:rsidRPr="002642B5">
        <w:rPr>
          <w:lang w:val="uk-UA"/>
        </w:rPr>
        <w:t xml:space="preserve"> система ЕКГ та АТ  EC-3H/ABP або еквівалент (код НК 024:2023: 35162 – Реєстратор амбулаторний для тривалого  електрокардіографічного моніторингу), </w:t>
      </w:r>
      <w:proofErr w:type="spellStart"/>
      <w:r w:rsidRPr="002642B5">
        <w:rPr>
          <w:lang w:val="uk-UA"/>
        </w:rPr>
        <w:t>Холтерівський</w:t>
      </w:r>
      <w:proofErr w:type="spellEnd"/>
      <w:r w:rsidRPr="002642B5">
        <w:rPr>
          <w:lang w:val="uk-UA"/>
        </w:rPr>
        <w:t xml:space="preserve"> реєстратор ЕКГ та АТ  EC-3H/ABP або еквівалент (код НК 024:2023:35162 – Реєстратор амбулаторний для тривалого  електрокардіографічного моніторингу).</w:t>
      </w:r>
    </w:p>
    <w:p w:rsidR="00713F30" w:rsidRPr="002642B5" w:rsidRDefault="00713F30" w:rsidP="002642B5">
      <w:pPr>
        <w:rPr>
          <w:lang w:val="uk-UA"/>
        </w:rPr>
      </w:pPr>
    </w:p>
    <w:p w:rsidR="00713F30" w:rsidRDefault="00713F30" w:rsidP="002642B5">
      <w:pPr>
        <w:rPr>
          <w:b/>
          <w:bCs/>
          <w:lang w:val="uk-UA"/>
        </w:rPr>
      </w:pPr>
      <w:r w:rsidRPr="00E9337D">
        <w:rPr>
          <w:b/>
          <w:bCs/>
          <w:lang w:val="uk-UA"/>
        </w:rPr>
        <w:t xml:space="preserve">Обґрунтування доцільності закупівлі. </w:t>
      </w:r>
    </w:p>
    <w:p w:rsidR="00713F30" w:rsidRPr="002642B5" w:rsidRDefault="00713F30" w:rsidP="002642B5">
      <w:pPr>
        <w:pStyle w:val="a8"/>
        <w:shd w:val="clear" w:color="auto" w:fill="FFFFFF"/>
        <w:spacing w:after="144"/>
        <w:jc w:val="both"/>
        <w:rPr>
          <w:rFonts w:ascii="Times New Roman" w:hAnsi="Times New Roman" w:cs="Times New Roman"/>
          <w:b/>
          <w:bCs/>
          <w:lang w:val="uk-UA"/>
        </w:rPr>
      </w:pPr>
      <w:r w:rsidRPr="002642B5">
        <w:rPr>
          <w:rFonts w:ascii="Times New Roman" w:hAnsi="Times New Roman" w:cs="Times New Roman"/>
          <w:lang w:val="uk-UA"/>
        </w:rPr>
        <w:t xml:space="preserve">Санаторій «Трускавець» СБУ проводить  обстеження та лікування пацієнтів, маючи ліцензію на медичну практику. Дана закупівля проводиться з метою оновлення обладнання, а також підсилення матеріально-технічної бази консультативно-діагностичних кабінетів </w:t>
      </w:r>
      <w:r w:rsidRPr="002642B5">
        <w:rPr>
          <w:rFonts w:ascii="Times New Roman" w:hAnsi="Times New Roman" w:cs="Times New Roman"/>
          <w:color w:val="000000"/>
          <w:lang w:val="uk-UA" w:eastAsia="ru-RU"/>
        </w:rPr>
        <w:t xml:space="preserve">з урахуванням потреб діагностики </w:t>
      </w:r>
      <w:r w:rsidRPr="002642B5">
        <w:rPr>
          <w:rFonts w:ascii="Times New Roman" w:hAnsi="Times New Roman" w:cs="Times New Roman"/>
          <w:color w:val="3D3D3D"/>
          <w:sz w:val="21"/>
          <w:szCs w:val="21"/>
          <w:shd w:val="clear" w:color="auto" w:fill="FFFFFF"/>
          <w:lang w:val="uk-UA"/>
        </w:rPr>
        <w:t xml:space="preserve"> </w:t>
      </w:r>
      <w:r w:rsidRPr="002642B5">
        <w:rPr>
          <w:rFonts w:ascii="Times New Roman" w:hAnsi="Times New Roman" w:cs="Times New Roman"/>
          <w:shd w:val="clear" w:color="auto" w:fill="FFFFFF"/>
          <w:lang w:val="uk-UA"/>
        </w:rPr>
        <w:t>пацієнтів, у яких спостерігаються ознаки різних форм захворювань серцево-судинної системи</w:t>
      </w:r>
      <w:r w:rsidRPr="002642B5">
        <w:rPr>
          <w:rFonts w:ascii="Times New Roman" w:hAnsi="Times New Roman" w:cs="Times New Roman"/>
          <w:b/>
          <w:bCs/>
          <w:lang w:val="uk-UA"/>
        </w:rPr>
        <w:t xml:space="preserve">.     </w:t>
      </w:r>
    </w:p>
    <w:p w:rsidR="00713F30" w:rsidRPr="002642B5" w:rsidRDefault="00713F30" w:rsidP="00F464D2">
      <w:pPr>
        <w:jc w:val="both"/>
        <w:rPr>
          <w:lang w:val="uk-UA"/>
        </w:rPr>
      </w:pPr>
    </w:p>
    <w:p w:rsidR="00713F30" w:rsidRDefault="00713F30" w:rsidP="002642B5">
      <w:pPr>
        <w:rPr>
          <w:lang w:val="uk-UA"/>
        </w:rPr>
      </w:pPr>
      <w:r w:rsidRPr="002642B5">
        <w:rPr>
          <w:b/>
          <w:bCs/>
          <w:lang w:val="uk-UA"/>
        </w:rPr>
        <w:t>Обґрунтування обсягів закупівлі</w:t>
      </w:r>
      <w:r w:rsidRPr="002642B5">
        <w:rPr>
          <w:lang w:val="uk-UA"/>
        </w:rPr>
        <w:t xml:space="preserve">. </w:t>
      </w:r>
    </w:p>
    <w:p w:rsidR="00713F30" w:rsidRDefault="00713F30" w:rsidP="002642B5">
      <w:pPr>
        <w:rPr>
          <w:lang w:val="uk-UA"/>
        </w:rPr>
      </w:pPr>
      <w:r w:rsidRPr="002642B5">
        <w:rPr>
          <w:lang w:val="uk-UA"/>
        </w:rPr>
        <w:t>Обсяг закупівлі, а саме  модель обладнання визначена  відповідно до переліку обладнання, яке необхідно для функціональної діагностики.</w:t>
      </w:r>
    </w:p>
    <w:p w:rsidR="00713F30" w:rsidRPr="002642B5" w:rsidRDefault="00713F30" w:rsidP="002642B5">
      <w:pPr>
        <w:rPr>
          <w:lang w:val="uk-UA"/>
        </w:rPr>
      </w:pPr>
    </w:p>
    <w:p w:rsidR="00713F30" w:rsidRPr="002642B5" w:rsidRDefault="00713F30" w:rsidP="008B6571">
      <w:pPr>
        <w:jc w:val="both"/>
        <w:rPr>
          <w:lang w:val="uk-UA"/>
        </w:rPr>
      </w:pPr>
      <w:r w:rsidRPr="002642B5">
        <w:rPr>
          <w:b/>
          <w:bCs/>
          <w:lang w:val="uk-UA"/>
        </w:rPr>
        <w:t>Обґрунтування технічних та якісних характеристик.</w:t>
      </w:r>
    </w:p>
    <w:p w:rsidR="00713F30" w:rsidRPr="002642B5" w:rsidRDefault="00713F30" w:rsidP="00910499">
      <w:pPr>
        <w:tabs>
          <w:tab w:val="left" w:pos="709"/>
          <w:tab w:val="left" w:pos="4125"/>
        </w:tabs>
        <w:spacing w:line="276" w:lineRule="auto"/>
        <w:jc w:val="both"/>
        <w:rPr>
          <w:lang w:val="uk-UA"/>
        </w:rPr>
      </w:pPr>
      <w:r w:rsidRPr="002642B5">
        <w:rPr>
          <w:lang w:val="uk-UA"/>
        </w:rPr>
        <w:t>Технічні і якісні характеристики обладнання визначаються особливостями локальних протоколів санаторно-курортного лікування в умовах санаторію «Трускавець» СБУ.</w:t>
      </w:r>
    </w:p>
    <w:p w:rsidR="00713F30" w:rsidRPr="002642B5" w:rsidRDefault="00713F30" w:rsidP="00910499">
      <w:pPr>
        <w:tabs>
          <w:tab w:val="left" w:pos="709"/>
          <w:tab w:val="left" w:pos="4125"/>
        </w:tabs>
        <w:spacing w:line="276" w:lineRule="auto"/>
        <w:jc w:val="both"/>
        <w:rPr>
          <w:b/>
          <w:bCs/>
          <w:lang w:val="uk-UA"/>
        </w:rPr>
      </w:pPr>
      <w:r w:rsidRPr="002642B5">
        <w:rPr>
          <w:b/>
          <w:bCs/>
          <w:lang w:val="uk-UA"/>
        </w:rPr>
        <w:t>Обґрунтування очікуваної вартості предмета.</w:t>
      </w:r>
    </w:p>
    <w:p w:rsidR="00713F30" w:rsidRPr="002642B5" w:rsidRDefault="00713F30" w:rsidP="00910499">
      <w:pPr>
        <w:tabs>
          <w:tab w:val="left" w:pos="709"/>
          <w:tab w:val="left" w:pos="4125"/>
        </w:tabs>
        <w:spacing w:line="276" w:lineRule="auto"/>
        <w:jc w:val="both"/>
        <w:rPr>
          <w:b/>
          <w:bCs/>
          <w:lang w:val="uk-UA" w:eastAsia="uk-UA"/>
        </w:rPr>
      </w:pPr>
      <w:r w:rsidRPr="002642B5">
        <w:rPr>
          <w:lang w:val="uk-UA"/>
        </w:rPr>
        <w:t>Середня очікувана вартість предмета закупівлі визначена шляхом аналізу цін на ринку вказаної продукції, згідно цінових пропозицій  трьох постачальників медичного обладнання та складає:</w:t>
      </w:r>
      <w:r w:rsidRPr="002642B5">
        <w:rPr>
          <w:b/>
          <w:bCs/>
          <w:lang w:val="uk-UA"/>
        </w:rPr>
        <w:t xml:space="preserve"> </w:t>
      </w:r>
      <w:r w:rsidRPr="002642B5">
        <w:rPr>
          <w:b/>
          <w:bCs/>
          <w:lang w:val="uk-UA" w:eastAsia="uk-UA"/>
        </w:rPr>
        <w:t>430 563,33 грн</w:t>
      </w:r>
    </w:p>
    <w:p w:rsidR="00713F30" w:rsidRPr="00291946" w:rsidRDefault="00713F30" w:rsidP="00910499">
      <w:pPr>
        <w:tabs>
          <w:tab w:val="left" w:pos="709"/>
        </w:tabs>
        <w:jc w:val="center"/>
        <w:rPr>
          <w:b/>
          <w:bCs/>
          <w:color w:val="FF0000"/>
          <w:lang w:val="uk-UA"/>
        </w:rPr>
      </w:pPr>
    </w:p>
    <w:p w:rsidR="00713F30" w:rsidRPr="00551A10" w:rsidRDefault="00713F30" w:rsidP="00910499">
      <w:pPr>
        <w:ind w:hanging="360"/>
        <w:jc w:val="both"/>
        <w:rPr>
          <w:lang w:val="uk-UA"/>
        </w:rPr>
      </w:pPr>
      <w:r>
        <w:rPr>
          <w:lang w:val="uk-UA"/>
        </w:rPr>
        <w:t>.</w:t>
      </w:r>
    </w:p>
    <w:p w:rsidR="00713F30" w:rsidRDefault="00713F30" w:rsidP="008B6571">
      <w:pPr>
        <w:rPr>
          <w:b/>
          <w:bCs/>
          <w:lang w:val="uk-UA"/>
        </w:rPr>
      </w:pPr>
      <w:proofErr w:type="spellStart"/>
      <w:r w:rsidRPr="00D90820">
        <w:rPr>
          <w:b/>
          <w:bCs/>
        </w:rPr>
        <w:t>Загальна</w:t>
      </w:r>
      <w:proofErr w:type="spellEnd"/>
      <w:r>
        <w:rPr>
          <w:b/>
          <w:bCs/>
          <w:lang w:val="uk-UA"/>
        </w:rPr>
        <w:t xml:space="preserve"> </w:t>
      </w:r>
      <w:proofErr w:type="spellStart"/>
      <w:r w:rsidRPr="00D90820">
        <w:rPr>
          <w:b/>
          <w:bCs/>
        </w:rPr>
        <w:t>очікувана</w:t>
      </w:r>
      <w:proofErr w:type="spellEnd"/>
      <w:r>
        <w:rPr>
          <w:b/>
          <w:bCs/>
          <w:lang w:val="uk-UA"/>
        </w:rPr>
        <w:t xml:space="preserve"> </w:t>
      </w:r>
      <w:proofErr w:type="spellStart"/>
      <w:r w:rsidRPr="00D90820">
        <w:rPr>
          <w:b/>
          <w:bCs/>
        </w:rPr>
        <w:t>вартість</w:t>
      </w:r>
      <w:proofErr w:type="spellEnd"/>
      <w:r>
        <w:rPr>
          <w:b/>
          <w:bCs/>
          <w:lang w:val="uk-UA"/>
        </w:rPr>
        <w:t xml:space="preserve"> </w:t>
      </w:r>
      <w:proofErr w:type="spellStart"/>
      <w:proofErr w:type="gramStart"/>
      <w:r w:rsidRPr="00D90820">
        <w:rPr>
          <w:b/>
          <w:bCs/>
        </w:rPr>
        <w:t>закупівлі</w:t>
      </w:r>
      <w:proofErr w:type="spellEnd"/>
      <w:r>
        <w:rPr>
          <w:b/>
          <w:bCs/>
          <w:lang w:val="uk-UA"/>
        </w:rPr>
        <w:t xml:space="preserve">  </w:t>
      </w:r>
      <w:r w:rsidRPr="002642B5">
        <w:rPr>
          <w:b/>
          <w:bCs/>
          <w:lang w:val="uk-UA" w:eastAsia="uk-UA"/>
        </w:rPr>
        <w:t>430</w:t>
      </w:r>
      <w:proofErr w:type="gramEnd"/>
      <w:r w:rsidRPr="002642B5">
        <w:rPr>
          <w:b/>
          <w:bCs/>
          <w:lang w:val="uk-UA" w:eastAsia="uk-UA"/>
        </w:rPr>
        <w:t> 563,33</w:t>
      </w:r>
      <w:r w:rsidRPr="008650C7">
        <w:rPr>
          <w:lang w:val="uk-UA" w:eastAsia="uk-UA"/>
        </w:rPr>
        <w:t xml:space="preserve"> </w:t>
      </w:r>
      <w:r w:rsidRPr="00D90820">
        <w:rPr>
          <w:b/>
          <w:bCs/>
        </w:rPr>
        <w:t>грн</w:t>
      </w:r>
      <w:r>
        <w:rPr>
          <w:b/>
          <w:bCs/>
        </w:rPr>
        <w:t>.</w:t>
      </w:r>
    </w:p>
    <w:p w:rsidR="00713F30" w:rsidRDefault="00713F30" w:rsidP="008B6571">
      <w:pPr>
        <w:rPr>
          <w:b/>
          <w:bCs/>
          <w:lang w:val="uk-UA"/>
        </w:rPr>
      </w:pPr>
    </w:p>
    <w:p w:rsidR="00713F30" w:rsidRDefault="00713F30" w:rsidP="008B6571">
      <w:pPr>
        <w:rPr>
          <w:b/>
          <w:bCs/>
          <w:lang w:val="uk-UA"/>
        </w:rPr>
      </w:pPr>
    </w:p>
    <w:p w:rsidR="00713F30" w:rsidRPr="00551A10" w:rsidRDefault="00713F30" w:rsidP="008B6571">
      <w:pPr>
        <w:jc w:val="both"/>
      </w:pPr>
    </w:p>
    <w:p w:rsidR="00713F30" w:rsidRDefault="00713F30" w:rsidP="008B6571">
      <w:pPr>
        <w:rPr>
          <w:lang w:val="uk-UA"/>
        </w:rPr>
      </w:pPr>
      <w:proofErr w:type="spellStart"/>
      <w:r w:rsidRPr="005B79A8">
        <w:t>Відповідальний</w:t>
      </w:r>
      <w:proofErr w:type="spellEnd"/>
      <w:r w:rsidRPr="005B79A8">
        <w:t xml:space="preserve"> за </w:t>
      </w:r>
      <w:proofErr w:type="spellStart"/>
      <w:r w:rsidRPr="005B79A8">
        <w:t>закупівлю</w:t>
      </w:r>
      <w:proofErr w:type="spellEnd"/>
      <w:r w:rsidRPr="005B79A8">
        <w:t>:</w:t>
      </w:r>
    </w:p>
    <w:p w:rsidR="00713F30" w:rsidRPr="00FE5185" w:rsidRDefault="00713F30" w:rsidP="008B6571">
      <w:pPr>
        <w:rPr>
          <w:lang w:val="uk-UA"/>
        </w:rPr>
      </w:pPr>
    </w:p>
    <w:p w:rsidR="00713F30" w:rsidRPr="005B79A8" w:rsidRDefault="00713F30" w:rsidP="008B6571">
      <w:proofErr w:type="spellStart"/>
      <w:r w:rsidRPr="005B79A8">
        <w:t>Медичний</w:t>
      </w:r>
      <w:proofErr w:type="spellEnd"/>
      <w:r w:rsidRPr="005B79A8">
        <w:t xml:space="preserve"> директор</w:t>
      </w:r>
    </w:p>
    <w:p w:rsidR="00713F30" w:rsidRPr="00E20E14" w:rsidRDefault="00713F30" w:rsidP="008B6571">
      <w:pPr>
        <w:rPr>
          <w:lang w:val="uk-UA"/>
        </w:rPr>
      </w:pPr>
      <w:r w:rsidRPr="005B79A8">
        <w:t xml:space="preserve">п/п-к м/с                                                     </w:t>
      </w:r>
      <w:r>
        <w:rPr>
          <w:lang w:val="uk-UA"/>
        </w:rPr>
        <w:t xml:space="preserve">                            </w:t>
      </w:r>
      <w:r w:rsidRPr="005B79A8">
        <w:t xml:space="preserve">          </w:t>
      </w:r>
      <w:r>
        <w:rPr>
          <w:lang w:val="uk-UA"/>
        </w:rPr>
        <w:t>Роман ГАБЧАК</w:t>
      </w:r>
    </w:p>
    <w:p w:rsidR="00713F30" w:rsidRDefault="00713F30" w:rsidP="008B6571"/>
    <w:p w:rsidR="00713F30" w:rsidRDefault="00713F30" w:rsidP="008B6571">
      <w:pPr>
        <w:rPr>
          <w:lang w:val="uk-UA"/>
        </w:rPr>
      </w:pPr>
      <w:r>
        <w:rPr>
          <w:lang w:val="uk-UA"/>
        </w:rPr>
        <w:t>ПОГОДЖЕНО:</w:t>
      </w:r>
    </w:p>
    <w:p w:rsidR="00713F30" w:rsidRDefault="00713F30" w:rsidP="002D02F2">
      <w:r>
        <w:rPr>
          <w:lang w:val="uk-UA"/>
        </w:rPr>
        <w:t>Головний бухгалтер                                                                       Оксана ДУТКА</w:t>
      </w:r>
    </w:p>
    <w:sectPr w:rsidR="00713F30" w:rsidSect="00A71BDC">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oNotTrackMoves/>
  <w:defaultTabStop w:val="708"/>
  <w:hyphenationZone w:val="425"/>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B5450"/>
    <w:rsid w:val="000407D5"/>
    <w:rsid w:val="0004581F"/>
    <w:rsid w:val="00045BAB"/>
    <w:rsid w:val="0013156A"/>
    <w:rsid w:val="00133582"/>
    <w:rsid w:val="001731F0"/>
    <w:rsid w:val="001A5C8E"/>
    <w:rsid w:val="00234442"/>
    <w:rsid w:val="00234613"/>
    <w:rsid w:val="00243A1C"/>
    <w:rsid w:val="002567E0"/>
    <w:rsid w:val="0026207C"/>
    <w:rsid w:val="002642B5"/>
    <w:rsid w:val="00291946"/>
    <w:rsid w:val="002C6882"/>
    <w:rsid w:val="002D02F2"/>
    <w:rsid w:val="003317DC"/>
    <w:rsid w:val="003A2A36"/>
    <w:rsid w:val="004135B9"/>
    <w:rsid w:val="004B5450"/>
    <w:rsid w:val="00551A10"/>
    <w:rsid w:val="00565707"/>
    <w:rsid w:val="005B79A8"/>
    <w:rsid w:val="005D2297"/>
    <w:rsid w:val="00615447"/>
    <w:rsid w:val="00632BAE"/>
    <w:rsid w:val="00696649"/>
    <w:rsid w:val="006E2B94"/>
    <w:rsid w:val="00713F30"/>
    <w:rsid w:val="007263FC"/>
    <w:rsid w:val="0086263B"/>
    <w:rsid w:val="008650C7"/>
    <w:rsid w:val="00883367"/>
    <w:rsid w:val="008B6571"/>
    <w:rsid w:val="00910499"/>
    <w:rsid w:val="009B2C83"/>
    <w:rsid w:val="00A71BDC"/>
    <w:rsid w:val="00A81821"/>
    <w:rsid w:val="00B236DF"/>
    <w:rsid w:val="00B84FC9"/>
    <w:rsid w:val="00C004A5"/>
    <w:rsid w:val="00D22215"/>
    <w:rsid w:val="00D90820"/>
    <w:rsid w:val="00DC61BB"/>
    <w:rsid w:val="00DF015F"/>
    <w:rsid w:val="00E20E14"/>
    <w:rsid w:val="00E36421"/>
    <w:rsid w:val="00E9337D"/>
    <w:rsid w:val="00EF1CE1"/>
    <w:rsid w:val="00F32F56"/>
    <w:rsid w:val="00F464D2"/>
    <w:rsid w:val="00FE51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9B55330-5386-4E0F-AC81-753B990CD6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B5450"/>
    <w:rPr>
      <w:rFonts w:ascii="Times New Roman" w:eastAsia="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C004A5"/>
    <w:rPr>
      <w:color w:val="0000FF"/>
      <w:u w:val="single"/>
    </w:rPr>
  </w:style>
  <w:style w:type="character" w:styleId="a4">
    <w:name w:val="Emphasis"/>
    <w:uiPriority w:val="99"/>
    <w:qFormat/>
    <w:rsid w:val="00C004A5"/>
    <w:rPr>
      <w:i/>
      <w:iCs/>
    </w:rPr>
  </w:style>
  <w:style w:type="character" w:styleId="a5">
    <w:name w:val="Strong"/>
    <w:uiPriority w:val="99"/>
    <w:qFormat/>
    <w:rsid w:val="00C004A5"/>
    <w:rPr>
      <w:b/>
      <w:bCs/>
    </w:rPr>
  </w:style>
  <w:style w:type="paragraph" w:customStyle="1" w:styleId="a6">
    <w:name w:val="Знак Знак"/>
    <w:basedOn w:val="a"/>
    <w:uiPriority w:val="99"/>
    <w:rsid w:val="00E9337D"/>
    <w:rPr>
      <w:rFonts w:ascii="Verdana" w:hAnsi="Verdana" w:cs="Verdana"/>
      <w:sz w:val="20"/>
      <w:szCs w:val="20"/>
      <w:lang w:val="en-US" w:eastAsia="en-US"/>
    </w:rPr>
  </w:style>
  <w:style w:type="paragraph" w:customStyle="1" w:styleId="1">
    <w:name w:val="Знак Знак1"/>
    <w:basedOn w:val="a"/>
    <w:uiPriority w:val="99"/>
    <w:rsid w:val="00B236DF"/>
    <w:rPr>
      <w:rFonts w:ascii="Verdana" w:hAnsi="Verdana" w:cs="Verdana"/>
      <w:sz w:val="20"/>
      <w:szCs w:val="20"/>
      <w:lang w:val="en-US" w:eastAsia="en-US"/>
    </w:rPr>
  </w:style>
  <w:style w:type="paragraph" w:customStyle="1" w:styleId="3">
    <w:name w:val="Знак Знак3"/>
    <w:basedOn w:val="a"/>
    <w:uiPriority w:val="99"/>
    <w:rsid w:val="008B6571"/>
    <w:rPr>
      <w:rFonts w:ascii="Verdana" w:hAnsi="Verdana" w:cs="Verdana"/>
      <w:sz w:val="20"/>
      <w:szCs w:val="20"/>
      <w:lang w:val="en-US" w:eastAsia="en-US"/>
    </w:rPr>
  </w:style>
  <w:style w:type="character" w:customStyle="1" w:styleId="a7">
    <w:name w:val="Звичайний (веб) Знак"/>
    <w:aliases w:val="Обычный (Web) Знак1,Знак18 Знак Знак1,Знак17 Знак1 Знак1,Обычный (веб) Знак1 Знак1,Обычный (веб) Знак Знак1 Знак1,Обычный (Web) Знак Знак Знак Знак Знак1,Обычный (веб) Знак Знак Знак Знак1,Обычный (веб) Знак Знак Знак2"/>
    <w:link w:val="a8"/>
    <w:uiPriority w:val="99"/>
    <w:locked/>
    <w:rsid w:val="000407D5"/>
    <w:rPr>
      <w:sz w:val="24"/>
      <w:szCs w:val="24"/>
      <w:lang w:val="ru-RU" w:eastAsia="en-US"/>
    </w:rPr>
  </w:style>
  <w:style w:type="paragraph" w:styleId="a8">
    <w:name w:val="Normal (Web)"/>
    <w:aliases w:val="Обычный (Web),Знак18 Знак,Знак17 Знак1,Обычный (веб) Знак1,Обычный (веб) Знак Знак1,Обычный (Web) Знак Знак Знак Знак,Обычный (веб) Знак Знак Знак,Обычный (веб) Знак Знак,Обычный (веб) Знак2 Знак Знак,Обычный (веб) Знак Знак1 Знак Знак"/>
    <w:basedOn w:val="a"/>
    <w:link w:val="a7"/>
    <w:uiPriority w:val="99"/>
    <w:rsid w:val="000407D5"/>
    <w:rPr>
      <w:rFonts w:ascii="Calibri" w:eastAsia="Calibri" w:hAnsi="Calibri" w:cs="Calibri"/>
      <w:lang w:eastAsia="en-US"/>
    </w:rPr>
  </w:style>
  <w:style w:type="character" w:customStyle="1" w:styleId="Web">
    <w:name w:val="Обычный (Web) Знак"/>
    <w:aliases w:val="Знак18 Знак Знак,Знак17 Знак1 Знак,Обычный (веб) Знак1 Знак,Обычный (веб) Знак Знак1 Знак,Обычный (Web) Знак Знак Знак Знак Знак,Обычный (веб) Знак Знак Знак Знак,Обычный (веб) Знак Знак Знак1,Обычный (веб) Знак2 Знак Знак Знак"/>
    <w:uiPriority w:val="99"/>
    <w:locked/>
    <w:rsid w:val="002642B5"/>
    <w:rPr>
      <w:sz w:val="24"/>
      <w:szCs w:val="24"/>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14578756">
      <w:marLeft w:val="0"/>
      <w:marRight w:val="0"/>
      <w:marTop w:val="0"/>
      <w:marBottom w:val="0"/>
      <w:divBdr>
        <w:top w:val="none" w:sz="0" w:space="0" w:color="auto"/>
        <w:left w:val="none" w:sz="0" w:space="0" w:color="auto"/>
        <w:bottom w:val="none" w:sz="0" w:space="0" w:color="auto"/>
        <w:right w:val="none" w:sz="0" w:space="0" w:color="auto"/>
      </w:divBdr>
    </w:div>
    <w:div w:id="1914578757">
      <w:marLeft w:val="0"/>
      <w:marRight w:val="0"/>
      <w:marTop w:val="0"/>
      <w:marBottom w:val="0"/>
      <w:divBdr>
        <w:top w:val="none" w:sz="0" w:space="0" w:color="auto"/>
        <w:left w:val="none" w:sz="0" w:space="0" w:color="auto"/>
        <w:bottom w:val="none" w:sz="0" w:space="0" w:color="auto"/>
        <w:right w:val="none" w:sz="0" w:space="0" w:color="auto"/>
      </w:divBdr>
    </w:div>
    <w:div w:id="191457875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84</TotalTime>
  <Pages>1</Pages>
  <Words>1349</Words>
  <Characters>769</Characters>
  <Application>Microsoft Office Word</Application>
  <DocSecurity>0</DocSecurity>
  <Lines>6</Lines>
  <Paragraphs>4</Paragraphs>
  <ScaleCrop>false</ScaleCrop>
  <Company/>
  <LinksUpToDate>false</LinksUpToDate>
  <CharactersWithSpaces>2114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cp:revision>
  <cp:lastPrinted>2024-12-06T06:30:00Z</cp:lastPrinted>
  <dcterms:created xsi:type="dcterms:W3CDTF">2024-10-07T06:58:00Z</dcterms:created>
  <dcterms:modified xsi:type="dcterms:W3CDTF">2024-12-09T09:17:00Z</dcterms:modified>
</cp:coreProperties>
</file>